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ABDE" w14:textId="77777777" w:rsidR="000F344D" w:rsidRDefault="000F344D" w:rsidP="007E5ECA">
      <w:pPr>
        <w:rPr>
          <w:u w:val="single"/>
        </w:rPr>
      </w:pPr>
    </w:p>
    <w:p w14:paraId="6C933532" w14:textId="3FA51DDA" w:rsidR="007E5ECA" w:rsidRPr="007E5ECA" w:rsidRDefault="00341F99" w:rsidP="007E5ECA">
      <w:pPr>
        <w:pStyle w:val="04aNumeration"/>
        <w:numPr>
          <w:ilvl w:val="0"/>
          <w:numId w:val="0"/>
        </w:numPr>
        <w:ind w:left="284" w:hanging="284"/>
        <w:rPr>
          <w:lang w:val="en-US"/>
        </w:rPr>
      </w:pPr>
      <w:r w:rsidRPr="00627392">
        <w:rPr>
          <w:noProof/>
          <w:lang w:eastAsia="nl-NL"/>
        </w:rPr>
        <w:drawing>
          <wp:anchor distT="0" distB="0" distL="114300" distR="114300" simplePos="0" relativeHeight="251659264" behindDoc="0" locked="0" layoutInCell="1" allowOverlap="1" wp14:anchorId="3C7702DF" wp14:editId="262F0911">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r w:rsidR="007E5ECA">
        <w:rPr>
          <w:rFonts w:asciiTheme="minorHAnsi" w:hAnsiTheme="minorHAnsi"/>
          <w:color w:val="2F035E"/>
          <w:sz w:val="32"/>
        </w:rPr>
        <w:t>Reference table Article 23 (1)</w:t>
      </w:r>
    </w:p>
    <w:tbl>
      <w:tblPr>
        <w:tblW w:w="9501" w:type="dxa"/>
        <w:tblInd w:w="-142" w:type="dxa"/>
        <w:tblBorders>
          <w:top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CellMar>
          <w:left w:w="0" w:type="dxa"/>
          <w:right w:w="0" w:type="dxa"/>
        </w:tblCellMar>
        <w:tblLook w:val="0000" w:firstRow="0" w:lastRow="0" w:firstColumn="0" w:lastColumn="0" w:noHBand="0" w:noVBand="0"/>
      </w:tblPr>
      <w:tblGrid>
        <w:gridCol w:w="4962"/>
        <w:gridCol w:w="142"/>
        <w:gridCol w:w="141"/>
        <w:gridCol w:w="21"/>
        <w:gridCol w:w="4190"/>
        <w:gridCol w:w="20"/>
        <w:gridCol w:w="25"/>
      </w:tblGrid>
      <w:tr w:rsidR="007E5ECA" w:rsidRPr="00341F99" w14:paraId="68351DB2" w14:textId="77777777" w:rsidTr="00F05B14">
        <w:trPr>
          <w:trHeight w:val="399"/>
        </w:trPr>
        <w:tc>
          <w:tcPr>
            <w:tcW w:w="4962" w:type="dxa"/>
            <w:shd w:val="clear" w:color="auto" w:fill="F2F2F2" w:themeFill="background1" w:themeFillShade="F2"/>
          </w:tcPr>
          <w:p w14:paraId="666CA584" w14:textId="6B4CB6D1" w:rsidR="007E5ECA" w:rsidRPr="007E5ECA" w:rsidRDefault="002E1D3E" w:rsidP="007E5ECA">
            <w:pPr>
              <w:spacing w:line="300" w:lineRule="auto"/>
              <w:rPr>
                <w:rFonts w:ascii="Calibri" w:hAnsi="Calibri"/>
                <w:sz w:val="20"/>
                <w:szCs w:val="20"/>
                <w:lang w:val="en-US" w:eastAsia="nl-NL"/>
              </w:rPr>
            </w:pPr>
            <w:r>
              <w:rPr>
                <w:rFonts w:ascii="Calibri" w:hAnsi="Calibri"/>
                <w:sz w:val="20"/>
                <w:szCs w:val="20"/>
                <w:lang w:val="en-US" w:eastAsia="nl-NL"/>
              </w:rPr>
              <w:t>Required disclosure</w:t>
            </w:r>
            <w:r w:rsidR="007E5ECA" w:rsidRPr="007E5ECA">
              <w:rPr>
                <w:rFonts w:ascii="Calibri" w:hAnsi="Calibri"/>
                <w:sz w:val="20"/>
                <w:szCs w:val="20"/>
                <w:lang w:val="en-US" w:eastAsia="nl-NL"/>
              </w:rPr>
              <w:t xml:space="preserve"> </w:t>
            </w:r>
          </w:p>
        </w:tc>
        <w:tc>
          <w:tcPr>
            <w:tcW w:w="142" w:type="dxa"/>
          </w:tcPr>
          <w:p w14:paraId="71169796" w14:textId="77777777" w:rsidR="007E5ECA" w:rsidRPr="007E5ECA" w:rsidRDefault="007E5ECA" w:rsidP="00BD35A0">
            <w:pPr>
              <w:spacing w:line="300" w:lineRule="auto"/>
              <w:rPr>
                <w:rFonts w:ascii="Calibri" w:hAnsi="Calibri"/>
                <w:color w:val="FFFFFF" w:themeColor="background1"/>
                <w:sz w:val="20"/>
                <w:szCs w:val="20"/>
                <w:lang w:val="en-US" w:eastAsia="nl-NL"/>
              </w:rPr>
            </w:pPr>
          </w:p>
        </w:tc>
        <w:tc>
          <w:tcPr>
            <w:tcW w:w="141" w:type="dxa"/>
            <w:shd w:val="clear" w:color="auto" w:fill="auto"/>
          </w:tcPr>
          <w:p w14:paraId="0AC23F25" w14:textId="77777777" w:rsidR="007E5ECA" w:rsidRPr="007E5ECA" w:rsidRDefault="007E5ECA" w:rsidP="00BD35A0">
            <w:pPr>
              <w:spacing w:line="300" w:lineRule="auto"/>
              <w:rPr>
                <w:rFonts w:ascii="Calibri" w:hAnsi="Calibri"/>
                <w:color w:val="FFFFFF" w:themeColor="background1"/>
                <w:sz w:val="20"/>
                <w:szCs w:val="20"/>
                <w:lang w:val="en-US" w:eastAsia="nl-NL"/>
              </w:rPr>
            </w:pPr>
          </w:p>
        </w:tc>
        <w:tc>
          <w:tcPr>
            <w:tcW w:w="21" w:type="dxa"/>
          </w:tcPr>
          <w:p w14:paraId="58FD2669" w14:textId="77777777" w:rsidR="007E5ECA" w:rsidRPr="007E5ECA" w:rsidRDefault="007E5ECA" w:rsidP="00BD35A0">
            <w:pPr>
              <w:spacing w:line="300" w:lineRule="auto"/>
              <w:rPr>
                <w:rFonts w:ascii="Calibri" w:hAnsi="Calibri"/>
                <w:color w:val="330066"/>
                <w:sz w:val="20"/>
                <w:szCs w:val="20"/>
                <w:lang w:val="en-US" w:eastAsia="nl-NL"/>
              </w:rPr>
            </w:pPr>
          </w:p>
        </w:tc>
        <w:tc>
          <w:tcPr>
            <w:tcW w:w="4190" w:type="dxa"/>
          </w:tcPr>
          <w:p w14:paraId="02B77E4A" w14:textId="5C4FE2A4" w:rsidR="007E5ECA" w:rsidRPr="00835C16" w:rsidRDefault="007E5ECA" w:rsidP="00BD35A0">
            <w:pPr>
              <w:spacing w:line="300" w:lineRule="auto"/>
              <w:rPr>
                <w:rFonts w:ascii="Calibri" w:hAnsi="Calibri"/>
                <w:sz w:val="20"/>
                <w:szCs w:val="20"/>
                <w:lang w:val="en-US"/>
              </w:rPr>
            </w:pPr>
            <w:r w:rsidRPr="00835C16">
              <w:rPr>
                <w:rFonts w:ascii="Calibri" w:hAnsi="Calibri"/>
                <w:sz w:val="20"/>
                <w:szCs w:val="20"/>
                <w:lang w:val="en-US" w:eastAsia="nl-NL"/>
              </w:rPr>
              <w:t xml:space="preserve"> </w:t>
            </w:r>
            <w:r w:rsidRPr="007E5ECA">
              <w:rPr>
                <w:rFonts w:ascii="Calibri" w:hAnsi="Calibri"/>
                <w:sz w:val="20"/>
                <w:szCs w:val="20"/>
                <w:lang w:val="en-US" w:eastAsia="nl-NL"/>
              </w:rPr>
              <w:t>Reference to enclosed information + page number</w:t>
            </w:r>
          </w:p>
        </w:tc>
        <w:tc>
          <w:tcPr>
            <w:tcW w:w="20" w:type="dxa"/>
          </w:tcPr>
          <w:p w14:paraId="54747ED3"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1432495C"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77163B50" w14:textId="77777777" w:rsidTr="00F05B14">
        <w:trPr>
          <w:trHeight w:val="625"/>
        </w:trPr>
        <w:tc>
          <w:tcPr>
            <w:tcW w:w="4962" w:type="dxa"/>
            <w:shd w:val="clear" w:color="auto" w:fill="F2F2F2" w:themeFill="background1" w:themeFillShade="F2"/>
          </w:tcPr>
          <w:p w14:paraId="15221A39" w14:textId="5A9AF9EA" w:rsidR="007E5ECA" w:rsidRPr="007E5ECA" w:rsidRDefault="007E5ECA" w:rsidP="007E5ECA">
            <w:pPr>
              <w:spacing w:line="300" w:lineRule="auto"/>
              <w:rPr>
                <w:rFonts w:ascii="Calibri" w:hAnsi="Calibri"/>
                <w:sz w:val="20"/>
                <w:szCs w:val="20"/>
                <w:lang w:val="en-US" w:eastAsia="nl-NL"/>
              </w:rPr>
            </w:pPr>
            <w:r>
              <w:rPr>
                <w:rFonts w:ascii="Calibri" w:hAnsi="Calibri"/>
                <w:sz w:val="20"/>
                <w:szCs w:val="20"/>
                <w:lang w:val="en-US" w:eastAsia="nl-NL"/>
              </w:rPr>
              <w:t xml:space="preserve">23 </w:t>
            </w:r>
            <w:r w:rsidRPr="007E5ECA">
              <w:rPr>
                <w:rFonts w:ascii="Calibri" w:hAnsi="Calibri"/>
                <w:sz w:val="20"/>
                <w:szCs w:val="20"/>
                <w:lang w:val="en-US" w:eastAsia="nl-NL"/>
              </w:rPr>
              <w:t>(1) (a)</w:t>
            </w:r>
          </w:p>
          <w:p w14:paraId="58C1163F" w14:textId="5B0AE83C"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A description of the investment strategy and objectives of the AIF, information on where any master AIF is established and where the underlying funds are established if the AIF is a fund of funds, a description of the types of assets in which the AIF may invest, the techniques it may employ and all associated risks, any applicable investment restrictions, the circumstances in which the AIF may use leverage, the types and sources of leverage permitted and the associated risks, any restrictions on the use of leverage and any collateral and asset reuse arrangements, and the maximum level of leverage which the AIFM are entitled to employ on behalf of the AIF</w:t>
            </w:r>
            <w:r w:rsidR="00B14BA9">
              <w:rPr>
                <w:rFonts w:ascii="Calibri" w:hAnsi="Calibri"/>
                <w:sz w:val="20"/>
                <w:szCs w:val="20"/>
                <w:lang w:val="en-US" w:eastAsia="nl-NL"/>
              </w:rPr>
              <w:t>;</w:t>
            </w:r>
          </w:p>
        </w:tc>
        <w:tc>
          <w:tcPr>
            <w:tcW w:w="142" w:type="dxa"/>
          </w:tcPr>
          <w:p w14:paraId="027F4DE6"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68DC3051"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6236835F"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605AAC3A" w14:textId="77777777" w:rsidR="007E5ECA" w:rsidRPr="00835C16" w:rsidRDefault="007E5ECA" w:rsidP="00BD35A0">
            <w:pPr>
              <w:spacing w:line="300" w:lineRule="auto"/>
              <w:rPr>
                <w:rFonts w:ascii="Calibri" w:hAnsi="Calibri"/>
                <w:sz w:val="20"/>
                <w:szCs w:val="20"/>
                <w:lang w:val="en-US"/>
              </w:rPr>
            </w:pPr>
          </w:p>
        </w:tc>
        <w:tc>
          <w:tcPr>
            <w:tcW w:w="20" w:type="dxa"/>
          </w:tcPr>
          <w:p w14:paraId="118E094F"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1107E62E"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70366BBF" w14:textId="77777777" w:rsidTr="00F05B14">
        <w:trPr>
          <w:trHeight w:val="1400"/>
        </w:trPr>
        <w:tc>
          <w:tcPr>
            <w:tcW w:w="4962" w:type="dxa"/>
            <w:shd w:val="clear" w:color="auto" w:fill="F2F2F2" w:themeFill="background1" w:themeFillShade="F2"/>
          </w:tcPr>
          <w:p w14:paraId="0F9919C1"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(b)</w:t>
            </w:r>
          </w:p>
          <w:p w14:paraId="2AEE6CA4" w14:textId="15380E83"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A description of the procedures by which the AIF may change its investment strategy or investment policy, or both;</w:t>
            </w:r>
          </w:p>
        </w:tc>
        <w:tc>
          <w:tcPr>
            <w:tcW w:w="142" w:type="dxa"/>
          </w:tcPr>
          <w:p w14:paraId="17CA9DBB"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5311D3B8"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6DF409F1"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462E430F" w14:textId="77777777" w:rsidR="007E5ECA" w:rsidRPr="00835C16" w:rsidRDefault="007E5ECA" w:rsidP="00BD35A0">
            <w:pPr>
              <w:spacing w:line="300" w:lineRule="auto"/>
              <w:rPr>
                <w:rFonts w:ascii="Calibri" w:hAnsi="Calibri"/>
                <w:sz w:val="20"/>
                <w:szCs w:val="20"/>
                <w:lang w:val="en-US"/>
              </w:rPr>
            </w:pPr>
          </w:p>
        </w:tc>
        <w:tc>
          <w:tcPr>
            <w:tcW w:w="20" w:type="dxa"/>
          </w:tcPr>
          <w:p w14:paraId="77CF6E7D"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6BCE9BA8"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0CB2BAA0" w14:textId="77777777" w:rsidTr="00F05B14">
        <w:trPr>
          <w:trHeight w:val="841"/>
        </w:trPr>
        <w:tc>
          <w:tcPr>
            <w:tcW w:w="4962" w:type="dxa"/>
            <w:shd w:val="clear" w:color="auto" w:fill="F2F2F2" w:themeFill="background1" w:themeFillShade="F2"/>
          </w:tcPr>
          <w:p w14:paraId="2A23A588" w14:textId="175DB92A" w:rsidR="007E5ECA" w:rsidRPr="007E5ECA" w:rsidRDefault="007E5ECA" w:rsidP="007E5ECA">
            <w:pPr>
              <w:spacing w:line="300" w:lineRule="auto"/>
              <w:rPr>
                <w:rFonts w:ascii="Calibri" w:hAnsi="Calibri"/>
                <w:sz w:val="20"/>
                <w:szCs w:val="20"/>
                <w:lang w:val="en-US" w:eastAsia="nl-NL"/>
              </w:rPr>
            </w:pPr>
            <w:r>
              <w:rPr>
                <w:rFonts w:ascii="Calibri" w:hAnsi="Calibri"/>
                <w:sz w:val="20"/>
                <w:szCs w:val="20"/>
                <w:lang w:val="en-US" w:eastAsia="nl-NL"/>
              </w:rPr>
              <w:t>23 (1) (c)</w:t>
            </w:r>
          </w:p>
          <w:p w14:paraId="72D077FE" w14:textId="349216AB"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 xml:space="preserve">A description of the main legal implications of the contractual relationship </w:t>
            </w:r>
            <w:proofErr w:type="gramStart"/>
            <w:r w:rsidRPr="007E5ECA">
              <w:rPr>
                <w:rFonts w:ascii="Calibri" w:hAnsi="Calibri"/>
                <w:sz w:val="20"/>
                <w:szCs w:val="20"/>
                <w:lang w:val="en-US" w:eastAsia="nl-NL"/>
              </w:rPr>
              <w:t>entered into</w:t>
            </w:r>
            <w:proofErr w:type="gramEnd"/>
            <w:r w:rsidRPr="007E5ECA">
              <w:rPr>
                <w:rFonts w:ascii="Calibri" w:hAnsi="Calibri"/>
                <w:sz w:val="20"/>
                <w:szCs w:val="20"/>
                <w:lang w:val="en-US" w:eastAsia="nl-NL"/>
              </w:rPr>
              <w:t xml:space="preserve"> for the purpose of investment, including information on jurisdiction, on the applicable law and on the existence or not of any legal instruments providing for the recognition and enforcement of judgments in the territory where the AIF is established;</w:t>
            </w:r>
          </w:p>
        </w:tc>
        <w:tc>
          <w:tcPr>
            <w:tcW w:w="142" w:type="dxa"/>
          </w:tcPr>
          <w:p w14:paraId="429843FC"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6674E5FF"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2DA86478"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30231A99" w14:textId="77777777" w:rsidR="007E5ECA" w:rsidRPr="00835C16" w:rsidRDefault="007E5ECA" w:rsidP="00BD35A0">
            <w:pPr>
              <w:spacing w:line="300" w:lineRule="auto"/>
              <w:rPr>
                <w:rFonts w:ascii="Calibri" w:hAnsi="Calibri"/>
                <w:sz w:val="20"/>
                <w:szCs w:val="20"/>
                <w:lang w:val="en-US"/>
              </w:rPr>
            </w:pPr>
          </w:p>
        </w:tc>
        <w:tc>
          <w:tcPr>
            <w:tcW w:w="20" w:type="dxa"/>
          </w:tcPr>
          <w:p w14:paraId="4DC0329A"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616221AC"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13DBB894" w14:textId="77777777" w:rsidTr="00F05B14">
        <w:trPr>
          <w:trHeight w:val="711"/>
        </w:trPr>
        <w:tc>
          <w:tcPr>
            <w:tcW w:w="4962" w:type="dxa"/>
            <w:shd w:val="clear" w:color="auto" w:fill="F2F2F2" w:themeFill="background1" w:themeFillShade="F2"/>
          </w:tcPr>
          <w:p w14:paraId="1702B9F1" w14:textId="1A561C5E" w:rsidR="007E5ECA" w:rsidRPr="007E5ECA" w:rsidRDefault="007E5ECA" w:rsidP="007E5ECA">
            <w:pPr>
              <w:spacing w:line="300" w:lineRule="auto"/>
              <w:rPr>
                <w:rFonts w:ascii="Calibri" w:hAnsi="Calibri"/>
                <w:sz w:val="20"/>
                <w:szCs w:val="20"/>
                <w:lang w:val="en-US" w:eastAsia="nl-NL"/>
              </w:rPr>
            </w:pPr>
            <w:r>
              <w:rPr>
                <w:rFonts w:ascii="Calibri" w:hAnsi="Calibri"/>
                <w:sz w:val="20"/>
                <w:szCs w:val="20"/>
                <w:lang w:val="en-US" w:eastAsia="nl-NL"/>
              </w:rPr>
              <w:t>23 (1) (d)</w:t>
            </w:r>
          </w:p>
          <w:p w14:paraId="3FAE3842" w14:textId="6F7BCDC9"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The identity of the AIFM, the AIF’s depositary, auditor and any other service providers and a description of their du</w:t>
            </w:r>
            <w:r>
              <w:rPr>
                <w:rFonts w:ascii="Calibri" w:hAnsi="Calibri"/>
                <w:sz w:val="20"/>
                <w:szCs w:val="20"/>
                <w:lang w:val="en-US" w:eastAsia="nl-NL"/>
              </w:rPr>
              <w:t>ties and the investors’ rights;</w:t>
            </w:r>
          </w:p>
        </w:tc>
        <w:tc>
          <w:tcPr>
            <w:tcW w:w="142" w:type="dxa"/>
          </w:tcPr>
          <w:p w14:paraId="19B1154B"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398AA581"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16FC15BD"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5FDABF43" w14:textId="77777777" w:rsidR="007E5ECA" w:rsidRPr="00835C16" w:rsidRDefault="007E5ECA" w:rsidP="00BD35A0">
            <w:pPr>
              <w:spacing w:line="300" w:lineRule="auto"/>
              <w:rPr>
                <w:rFonts w:ascii="Calibri" w:hAnsi="Calibri"/>
                <w:sz w:val="20"/>
                <w:szCs w:val="20"/>
                <w:lang w:val="en-US"/>
              </w:rPr>
            </w:pPr>
          </w:p>
        </w:tc>
        <w:tc>
          <w:tcPr>
            <w:tcW w:w="20" w:type="dxa"/>
          </w:tcPr>
          <w:p w14:paraId="65E851BE"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1C94CF26"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61112C91" w14:textId="77777777" w:rsidTr="00F05B14">
        <w:trPr>
          <w:trHeight w:val="1115"/>
        </w:trPr>
        <w:tc>
          <w:tcPr>
            <w:tcW w:w="4962" w:type="dxa"/>
            <w:shd w:val="clear" w:color="auto" w:fill="F2F2F2" w:themeFill="background1" w:themeFillShade="F2"/>
          </w:tcPr>
          <w:p w14:paraId="32E246BC" w14:textId="499926E1" w:rsidR="007E5ECA" w:rsidRPr="007E5ECA" w:rsidRDefault="007E5ECA" w:rsidP="007E5ECA">
            <w:pPr>
              <w:spacing w:line="300" w:lineRule="auto"/>
              <w:rPr>
                <w:rFonts w:ascii="Calibri" w:hAnsi="Calibri"/>
                <w:sz w:val="20"/>
                <w:szCs w:val="20"/>
                <w:lang w:val="en-US" w:eastAsia="nl-NL"/>
              </w:rPr>
            </w:pPr>
            <w:r>
              <w:rPr>
                <w:rFonts w:ascii="Calibri" w:hAnsi="Calibri"/>
                <w:sz w:val="20"/>
                <w:szCs w:val="20"/>
                <w:lang w:val="en-US" w:eastAsia="nl-NL"/>
              </w:rPr>
              <w:t>23 (1) (e)</w:t>
            </w:r>
          </w:p>
          <w:p w14:paraId="6F44BC16" w14:textId="1AE30B4A"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A description of how the AIFM is complying with th</w:t>
            </w:r>
            <w:r>
              <w:rPr>
                <w:rFonts w:ascii="Calibri" w:hAnsi="Calibri"/>
                <w:sz w:val="20"/>
                <w:szCs w:val="20"/>
                <w:lang w:val="en-US" w:eastAsia="nl-NL"/>
              </w:rPr>
              <w:t>e requirements of Article 9(7);</w:t>
            </w:r>
          </w:p>
        </w:tc>
        <w:tc>
          <w:tcPr>
            <w:tcW w:w="142" w:type="dxa"/>
          </w:tcPr>
          <w:p w14:paraId="3AF08C48"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39427C66"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46AB3184"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30977457" w14:textId="77777777" w:rsidR="007E5ECA" w:rsidRPr="00835C16" w:rsidRDefault="007E5ECA" w:rsidP="00BD35A0">
            <w:pPr>
              <w:spacing w:line="300" w:lineRule="auto"/>
              <w:rPr>
                <w:rFonts w:ascii="Calibri" w:hAnsi="Calibri"/>
                <w:sz w:val="20"/>
                <w:szCs w:val="20"/>
                <w:lang w:val="en-US"/>
              </w:rPr>
            </w:pPr>
          </w:p>
        </w:tc>
        <w:tc>
          <w:tcPr>
            <w:tcW w:w="20" w:type="dxa"/>
          </w:tcPr>
          <w:p w14:paraId="3D56E9D9"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4A56052B"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0EDC392C" w14:textId="77777777" w:rsidTr="00F05B14">
        <w:trPr>
          <w:trHeight w:val="1135"/>
        </w:trPr>
        <w:tc>
          <w:tcPr>
            <w:tcW w:w="4962" w:type="dxa"/>
            <w:shd w:val="clear" w:color="auto" w:fill="F2F2F2" w:themeFill="background1" w:themeFillShade="F2"/>
          </w:tcPr>
          <w:p w14:paraId="56C74C27"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lastRenderedPageBreak/>
              <w:t>23 (1) (f)</w:t>
            </w:r>
          </w:p>
          <w:p w14:paraId="6AE7B0BB" w14:textId="36C16589"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A description of any delegated management function as referred to in Annex I by the AIFM and of any safe- keeping function delegated by the depositary, the identification of the delegate and any conflicts of interest that may arise from such delegations;</w:t>
            </w:r>
          </w:p>
        </w:tc>
        <w:tc>
          <w:tcPr>
            <w:tcW w:w="142" w:type="dxa"/>
          </w:tcPr>
          <w:p w14:paraId="5573F204"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5C185580"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2C94E55F"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67302721" w14:textId="77777777" w:rsidR="007E5ECA" w:rsidRPr="00835C16" w:rsidRDefault="007E5ECA" w:rsidP="00BD35A0">
            <w:pPr>
              <w:spacing w:line="300" w:lineRule="auto"/>
              <w:rPr>
                <w:rFonts w:ascii="Calibri" w:hAnsi="Calibri"/>
                <w:sz w:val="20"/>
                <w:szCs w:val="20"/>
                <w:lang w:val="en-US"/>
              </w:rPr>
            </w:pPr>
          </w:p>
        </w:tc>
        <w:tc>
          <w:tcPr>
            <w:tcW w:w="20" w:type="dxa"/>
          </w:tcPr>
          <w:p w14:paraId="3D5A10FA"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434A278E"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3AC09EAB" w14:textId="77777777" w:rsidTr="00F05B14">
        <w:trPr>
          <w:trHeight w:val="1859"/>
        </w:trPr>
        <w:tc>
          <w:tcPr>
            <w:tcW w:w="4962" w:type="dxa"/>
            <w:shd w:val="clear" w:color="auto" w:fill="F2F2F2" w:themeFill="background1" w:themeFillShade="F2"/>
          </w:tcPr>
          <w:p w14:paraId="35E523C8"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(g)</w:t>
            </w:r>
          </w:p>
          <w:p w14:paraId="4FCAC85C" w14:textId="37A7DF47" w:rsidR="00F05B14"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A description of the AIF’s valuation procedure and of the pricing methodology for valuing assets, including the methods used in valuing hard-to-value assets in accordance with Article 19;</w:t>
            </w:r>
          </w:p>
        </w:tc>
        <w:tc>
          <w:tcPr>
            <w:tcW w:w="142" w:type="dxa"/>
          </w:tcPr>
          <w:p w14:paraId="3175499D"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7B95DDDB"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3F6D01E3"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53EE2786" w14:textId="77777777" w:rsidR="007E5ECA" w:rsidRPr="00835C16" w:rsidRDefault="007E5ECA" w:rsidP="00BD35A0">
            <w:pPr>
              <w:spacing w:line="300" w:lineRule="auto"/>
              <w:rPr>
                <w:rFonts w:ascii="Calibri" w:hAnsi="Calibri"/>
                <w:sz w:val="20"/>
                <w:szCs w:val="20"/>
                <w:lang w:val="en-US"/>
              </w:rPr>
            </w:pPr>
          </w:p>
        </w:tc>
        <w:tc>
          <w:tcPr>
            <w:tcW w:w="20" w:type="dxa"/>
          </w:tcPr>
          <w:p w14:paraId="726F1326"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2A3E7FFC"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1302A9DF" w14:textId="77777777" w:rsidTr="00F05B14">
        <w:trPr>
          <w:trHeight w:val="451"/>
        </w:trPr>
        <w:tc>
          <w:tcPr>
            <w:tcW w:w="4962" w:type="dxa"/>
            <w:shd w:val="clear" w:color="auto" w:fill="F2F2F2" w:themeFill="background1" w:themeFillShade="F2"/>
          </w:tcPr>
          <w:p w14:paraId="46A4080A" w14:textId="77777777" w:rsidR="007E5ECA" w:rsidRPr="006F4927" w:rsidRDefault="007E5ECA" w:rsidP="007E5ECA">
            <w:pPr>
              <w:spacing w:line="300" w:lineRule="auto"/>
              <w:rPr>
                <w:rFonts w:ascii="Calibri" w:hAnsi="Calibri"/>
                <w:sz w:val="20"/>
                <w:szCs w:val="20"/>
                <w:lang w:val="en-US" w:eastAsia="nl-NL"/>
              </w:rPr>
            </w:pPr>
            <w:r w:rsidRPr="006F4927">
              <w:rPr>
                <w:rFonts w:ascii="Calibri" w:hAnsi="Calibri"/>
                <w:sz w:val="20"/>
                <w:szCs w:val="20"/>
                <w:lang w:val="en-US" w:eastAsia="nl-NL"/>
              </w:rPr>
              <w:t>23 (1) (h)</w:t>
            </w:r>
          </w:p>
          <w:p w14:paraId="0A93E1D6" w14:textId="1DD53F4D" w:rsidR="007E5ECA" w:rsidRPr="007E5ECA" w:rsidRDefault="007E5ECA" w:rsidP="007E5ECA">
            <w:pPr>
              <w:spacing w:line="300" w:lineRule="auto"/>
              <w:rPr>
                <w:rFonts w:ascii="Calibri" w:hAnsi="Calibri"/>
                <w:szCs w:val="20"/>
                <w:lang w:val="en-US" w:eastAsia="nl-NL"/>
              </w:rPr>
            </w:pPr>
            <w:r w:rsidRPr="006F4927">
              <w:rPr>
                <w:rFonts w:ascii="Calibri" w:hAnsi="Calibri"/>
                <w:sz w:val="20"/>
                <w:szCs w:val="20"/>
                <w:lang w:val="en-US" w:eastAsia="nl-NL"/>
              </w:rPr>
              <w:t>A description of the AIF’s liquidity risk management, including the redemption rights both in normal and in exceptional circumstances, and the existing redemption arrangements with investors;</w:t>
            </w:r>
          </w:p>
        </w:tc>
        <w:tc>
          <w:tcPr>
            <w:tcW w:w="142" w:type="dxa"/>
          </w:tcPr>
          <w:p w14:paraId="664B8ECE" w14:textId="77777777" w:rsidR="007E5ECA" w:rsidRPr="00803FA9" w:rsidRDefault="007E5ECA" w:rsidP="00BD35A0">
            <w:pPr>
              <w:spacing w:line="300" w:lineRule="auto"/>
              <w:rPr>
                <w:rFonts w:ascii="Calibri" w:hAnsi="Calibri"/>
                <w:i/>
                <w:color w:val="FFFFFF" w:themeColor="background1"/>
                <w:szCs w:val="20"/>
                <w:lang w:val="en-US"/>
              </w:rPr>
            </w:pPr>
          </w:p>
        </w:tc>
        <w:tc>
          <w:tcPr>
            <w:tcW w:w="141" w:type="dxa"/>
            <w:shd w:val="clear" w:color="auto" w:fill="auto"/>
          </w:tcPr>
          <w:p w14:paraId="7BB25A49" w14:textId="77777777" w:rsidR="007E5ECA" w:rsidRPr="00F05B14" w:rsidRDefault="007E5ECA" w:rsidP="00BD35A0">
            <w:pPr>
              <w:spacing w:line="300" w:lineRule="auto"/>
              <w:rPr>
                <w:rFonts w:ascii="Calibri" w:hAnsi="Calibri"/>
                <w:color w:val="FFFFFF" w:themeColor="background1"/>
                <w:szCs w:val="20"/>
                <w:lang w:val="en-US"/>
              </w:rPr>
            </w:pPr>
          </w:p>
        </w:tc>
        <w:tc>
          <w:tcPr>
            <w:tcW w:w="21" w:type="dxa"/>
          </w:tcPr>
          <w:p w14:paraId="043EA07A" w14:textId="77777777" w:rsidR="007E5ECA" w:rsidRPr="00803FA9" w:rsidRDefault="007E5ECA" w:rsidP="00BD35A0">
            <w:pPr>
              <w:spacing w:line="300" w:lineRule="auto"/>
              <w:rPr>
                <w:rFonts w:ascii="Calibri" w:hAnsi="Calibri"/>
                <w:i/>
                <w:color w:val="330066"/>
                <w:szCs w:val="20"/>
                <w:lang w:val="en-US"/>
              </w:rPr>
            </w:pPr>
          </w:p>
        </w:tc>
        <w:tc>
          <w:tcPr>
            <w:tcW w:w="4190" w:type="dxa"/>
          </w:tcPr>
          <w:p w14:paraId="719F28D5" w14:textId="77777777" w:rsidR="007E5ECA" w:rsidRPr="00803FA9" w:rsidRDefault="007E5ECA" w:rsidP="00BD35A0">
            <w:pPr>
              <w:spacing w:line="300" w:lineRule="auto"/>
              <w:rPr>
                <w:rFonts w:ascii="Calibri" w:hAnsi="Calibri"/>
                <w:i/>
                <w:szCs w:val="20"/>
                <w:lang w:val="en-US"/>
              </w:rPr>
            </w:pPr>
          </w:p>
        </w:tc>
        <w:tc>
          <w:tcPr>
            <w:tcW w:w="20" w:type="dxa"/>
          </w:tcPr>
          <w:p w14:paraId="01EE5C48" w14:textId="77777777" w:rsidR="007E5ECA" w:rsidRPr="00803FA9" w:rsidRDefault="007E5ECA" w:rsidP="00BD35A0">
            <w:pPr>
              <w:spacing w:line="300" w:lineRule="auto"/>
              <w:rPr>
                <w:rFonts w:ascii="Calibri" w:hAnsi="Calibri"/>
                <w:i/>
                <w:color w:val="330066"/>
                <w:szCs w:val="20"/>
                <w:lang w:val="en-US"/>
              </w:rPr>
            </w:pPr>
          </w:p>
        </w:tc>
        <w:tc>
          <w:tcPr>
            <w:tcW w:w="25" w:type="dxa"/>
          </w:tcPr>
          <w:p w14:paraId="3056F506" w14:textId="77777777" w:rsidR="007E5ECA" w:rsidRPr="00803FA9" w:rsidRDefault="007E5ECA" w:rsidP="00BD35A0">
            <w:pPr>
              <w:spacing w:line="300" w:lineRule="auto"/>
              <w:rPr>
                <w:rFonts w:ascii="Calibri" w:hAnsi="Calibri"/>
                <w:i/>
                <w:color w:val="330066"/>
                <w:szCs w:val="20"/>
                <w:lang w:val="en-US"/>
              </w:rPr>
            </w:pPr>
          </w:p>
        </w:tc>
      </w:tr>
      <w:tr w:rsidR="007E5ECA" w:rsidRPr="00341F99" w14:paraId="0A56C7A4" w14:textId="77777777" w:rsidTr="00F05B14">
        <w:trPr>
          <w:trHeight w:val="1520"/>
        </w:trPr>
        <w:tc>
          <w:tcPr>
            <w:tcW w:w="4962" w:type="dxa"/>
            <w:shd w:val="clear" w:color="auto" w:fill="F2F2F2" w:themeFill="background1" w:themeFillShade="F2"/>
          </w:tcPr>
          <w:p w14:paraId="00CE814C"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w:t>
            </w:r>
            <w:proofErr w:type="spellStart"/>
            <w:r w:rsidRPr="007E5ECA">
              <w:rPr>
                <w:rFonts w:ascii="Calibri" w:hAnsi="Calibri"/>
                <w:sz w:val="20"/>
                <w:szCs w:val="20"/>
                <w:lang w:val="en-US" w:eastAsia="nl-NL"/>
              </w:rPr>
              <w:t>i</w:t>
            </w:r>
            <w:proofErr w:type="spellEnd"/>
            <w:r w:rsidRPr="007E5ECA">
              <w:rPr>
                <w:rFonts w:ascii="Calibri" w:hAnsi="Calibri"/>
                <w:sz w:val="20"/>
                <w:szCs w:val="20"/>
                <w:lang w:val="en-US" w:eastAsia="nl-NL"/>
              </w:rPr>
              <w:t>)</w:t>
            </w:r>
          </w:p>
          <w:p w14:paraId="683B8D73" w14:textId="0D42F716"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 xml:space="preserve">A description of all fees, </w:t>
            </w:r>
            <w:proofErr w:type="gramStart"/>
            <w:r w:rsidRPr="007E5ECA">
              <w:rPr>
                <w:rFonts w:ascii="Calibri" w:hAnsi="Calibri"/>
                <w:sz w:val="20"/>
                <w:szCs w:val="20"/>
                <w:lang w:val="en-US" w:eastAsia="nl-NL"/>
              </w:rPr>
              <w:t>charges</w:t>
            </w:r>
            <w:proofErr w:type="gramEnd"/>
            <w:r w:rsidRPr="007E5ECA">
              <w:rPr>
                <w:rFonts w:ascii="Calibri" w:hAnsi="Calibri"/>
                <w:sz w:val="20"/>
                <w:szCs w:val="20"/>
                <w:lang w:val="en-US" w:eastAsia="nl-NL"/>
              </w:rPr>
              <w:t xml:space="preserve"> and expenses and of the maximum amounts thereof which are directly or indirectly borne by investors;</w:t>
            </w:r>
          </w:p>
        </w:tc>
        <w:tc>
          <w:tcPr>
            <w:tcW w:w="142" w:type="dxa"/>
          </w:tcPr>
          <w:p w14:paraId="4FAE72E2"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727A1679"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50BD2002"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0281D6E7" w14:textId="41D1FB1B" w:rsidR="007E5ECA" w:rsidRPr="00835C16" w:rsidRDefault="007E5ECA" w:rsidP="007E5ECA">
            <w:pPr>
              <w:spacing w:line="300" w:lineRule="auto"/>
              <w:rPr>
                <w:rFonts w:ascii="Calibri" w:hAnsi="Calibri"/>
                <w:sz w:val="20"/>
                <w:szCs w:val="20"/>
                <w:lang w:val="en-US"/>
              </w:rPr>
            </w:pPr>
          </w:p>
        </w:tc>
        <w:tc>
          <w:tcPr>
            <w:tcW w:w="20" w:type="dxa"/>
          </w:tcPr>
          <w:p w14:paraId="4A1E1E27"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0077ADE5"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759BE591" w14:textId="77777777" w:rsidTr="00F05B14">
        <w:trPr>
          <w:trHeight w:val="637"/>
        </w:trPr>
        <w:tc>
          <w:tcPr>
            <w:tcW w:w="4962" w:type="dxa"/>
            <w:shd w:val="clear" w:color="auto" w:fill="F2F2F2" w:themeFill="background1" w:themeFillShade="F2"/>
          </w:tcPr>
          <w:p w14:paraId="1C6A3A3C"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(j)</w:t>
            </w:r>
          </w:p>
          <w:p w14:paraId="3E35A0D1" w14:textId="597E10CF"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A description of how the AIFM ensures a fair treatment of investors and, whenever an investor obtains preferential treatment or the right to obtain preferential treatment, a description of that preferential treatment, the type of investors who obtain such preferential treatment and, where relevant, their legal or econom</w:t>
            </w:r>
            <w:r>
              <w:rPr>
                <w:rFonts w:ascii="Calibri" w:hAnsi="Calibri"/>
                <w:sz w:val="20"/>
                <w:szCs w:val="20"/>
                <w:lang w:val="en-US" w:eastAsia="nl-NL"/>
              </w:rPr>
              <w:t>ic links with the AIF or AIFM;</w:t>
            </w:r>
          </w:p>
        </w:tc>
        <w:tc>
          <w:tcPr>
            <w:tcW w:w="142" w:type="dxa"/>
          </w:tcPr>
          <w:p w14:paraId="2A6746C9"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57134883"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19D1ABF9"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1BBF35E4" w14:textId="685A99AB" w:rsidR="007E5ECA" w:rsidRPr="00835C16" w:rsidRDefault="007E5ECA" w:rsidP="00BD35A0">
            <w:pPr>
              <w:spacing w:line="300" w:lineRule="auto"/>
              <w:rPr>
                <w:rFonts w:ascii="Calibri" w:hAnsi="Calibri"/>
                <w:sz w:val="20"/>
                <w:szCs w:val="20"/>
                <w:lang w:val="en-US"/>
              </w:rPr>
            </w:pPr>
          </w:p>
        </w:tc>
        <w:tc>
          <w:tcPr>
            <w:tcW w:w="20" w:type="dxa"/>
          </w:tcPr>
          <w:p w14:paraId="11833BC8"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729913DC"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077B640A" w14:textId="77777777" w:rsidTr="00F05B14">
        <w:trPr>
          <w:trHeight w:val="909"/>
        </w:trPr>
        <w:tc>
          <w:tcPr>
            <w:tcW w:w="4962" w:type="dxa"/>
            <w:shd w:val="clear" w:color="auto" w:fill="F2F2F2" w:themeFill="background1" w:themeFillShade="F2"/>
          </w:tcPr>
          <w:p w14:paraId="1E9DA30B"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(k)</w:t>
            </w:r>
          </w:p>
          <w:p w14:paraId="78C2D53F" w14:textId="2084A514"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The latest annual report referred to in Article 22;</w:t>
            </w:r>
          </w:p>
        </w:tc>
        <w:tc>
          <w:tcPr>
            <w:tcW w:w="142" w:type="dxa"/>
          </w:tcPr>
          <w:p w14:paraId="657BCF8A"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59D5D280"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7AF94B84"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48D3110C" w14:textId="73ABD881" w:rsidR="007E5ECA" w:rsidRPr="00835C16" w:rsidRDefault="007E5ECA" w:rsidP="00BD35A0">
            <w:pPr>
              <w:spacing w:line="300" w:lineRule="auto"/>
              <w:rPr>
                <w:rFonts w:ascii="Calibri" w:hAnsi="Calibri"/>
                <w:sz w:val="20"/>
                <w:szCs w:val="20"/>
                <w:lang w:val="en-US"/>
              </w:rPr>
            </w:pPr>
          </w:p>
        </w:tc>
        <w:tc>
          <w:tcPr>
            <w:tcW w:w="20" w:type="dxa"/>
          </w:tcPr>
          <w:p w14:paraId="6441CA35"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4AF72CB8"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72557AE3" w14:textId="77777777" w:rsidTr="00F05B14">
        <w:trPr>
          <w:trHeight w:val="979"/>
        </w:trPr>
        <w:tc>
          <w:tcPr>
            <w:tcW w:w="4962" w:type="dxa"/>
            <w:shd w:val="clear" w:color="auto" w:fill="F2F2F2" w:themeFill="background1" w:themeFillShade="F2"/>
          </w:tcPr>
          <w:p w14:paraId="5D9205DD"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(l)</w:t>
            </w:r>
          </w:p>
          <w:p w14:paraId="23B99B44" w14:textId="3DB93B91" w:rsidR="007E5ECA" w:rsidRPr="00835C16"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The procedure and conditions for the iss</w:t>
            </w:r>
            <w:r>
              <w:rPr>
                <w:rFonts w:ascii="Calibri" w:hAnsi="Calibri"/>
                <w:sz w:val="20"/>
                <w:szCs w:val="20"/>
                <w:lang w:val="en-US" w:eastAsia="nl-NL"/>
              </w:rPr>
              <w:t>ue and sale of units or shares;</w:t>
            </w:r>
          </w:p>
        </w:tc>
        <w:tc>
          <w:tcPr>
            <w:tcW w:w="142" w:type="dxa"/>
          </w:tcPr>
          <w:p w14:paraId="22864C0F"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15209273"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1D9F05B2"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78AA2ED0" w14:textId="3596C261" w:rsidR="007E5ECA" w:rsidRPr="00835C16" w:rsidRDefault="007E5ECA" w:rsidP="00BD35A0">
            <w:pPr>
              <w:spacing w:line="300" w:lineRule="auto"/>
              <w:rPr>
                <w:rFonts w:ascii="Calibri" w:hAnsi="Calibri"/>
                <w:sz w:val="20"/>
                <w:szCs w:val="20"/>
                <w:lang w:val="en-US"/>
              </w:rPr>
            </w:pPr>
          </w:p>
        </w:tc>
        <w:tc>
          <w:tcPr>
            <w:tcW w:w="20" w:type="dxa"/>
          </w:tcPr>
          <w:p w14:paraId="33D2E7C3"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3D11E39B"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253B59B7" w14:textId="77777777" w:rsidTr="00F05B14">
        <w:trPr>
          <w:trHeight w:val="979"/>
        </w:trPr>
        <w:tc>
          <w:tcPr>
            <w:tcW w:w="4962" w:type="dxa"/>
            <w:shd w:val="clear" w:color="auto" w:fill="F2F2F2" w:themeFill="background1" w:themeFillShade="F2"/>
          </w:tcPr>
          <w:p w14:paraId="532581F4" w14:textId="77777777" w:rsid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(m)</w:t>
            </w:r>
          </w:p>
          <w:p w14:paraId="2677ADC1" w14:textId="60F7562A"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lastRenderedPageBreak/>
              <w:t>The latest net asset value of the AIF or the latest market price of the unit or share of the AIF, in accordance with Article 19;</w:t>
            </w:r>
          </w:p>
        </w:tc>
        <w:tc>
          <w:tcPr>
            <w:tcW w:w="142" w:type="dxa"/>
          </w:tcPr>
          <w:p w14:paraId="5851858D"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4A7D5427"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45124584"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6901C1A0" w14:textId="77777777" w:rsidR="007E5ECA" w:rsidRPr="00835C16" w:rsidRDefault="007E5ECA" w:rsidP="00BD35A0">
            <w:pPr>
              <w:spacing w:line="300" w:lineRule="auto"/>
              <w:rPr>
                <w:rFonts w:ascii="Calibri" w:hAnsi="Calibri"/>
                <w:sz w:val="20"/>
                <w:szCs w:val="20"/>
                <w:lang w:val="en-US"/>
              </w:rPr>
            </w:pPr>
          </w:p>
        </w:tc>
        <w:tc>
          <w:tcPr>
            <w:tcW w:w="20" w:type="dxa"/>
          </w:tcPr>
          <w:p w14:paraId="036E0DD1"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3014B39D"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7016F1BB" w14:textId="77777777" w:rsidTr="00F05B14">
        <w:trPr>
          <w:trHeight w:val="979"/>
        </w:trPr>
        <w:tc>
          <w:tcPr>
            <w:tcW w:w="4962" w:type="dxa"/>
            <w:shd w:val="clear" w:color="auto" w:fill="F2F2F2" w:themeFill="background1" w:themeFillShade="F2"/>
          </w:tcPr>
          <w:p w14:paraId="1F9D4418"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(n)</w:t>
            </w:r>
          </w:p>
          <w:p w14:paraId="0DFC4C04" w14:textId="48C3CA40"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Where available, the his</w:t>
            </w:r>
            <w:r>
              <w:rPr>
                <w:rFonts w:ascii="Calibri" w:hAnsi="Calibri"/>
                <w:sz w:val="20"/>
                <w:szCs w:val="20"/>
                <w:lang w:val="en-US" w:eastAsia="nl-NL"/>
              </w:rPr>
              <w:t>torical performance of the AIF;</w:t>
            </w:r>
          </w:p>
        </w:tc>
        <w:tc>
          <w:tcPr>
            <w:tcW w:w="142" w:type="dxa"/>
          </w:tcPr>
          <w:p w14:paraId="22FCDE71"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59EE563D"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276F3D0D"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7185DBDC" w14:textId="77777777" w:rsidR="007E5ECA" w:rsidRPr="00835C16" w:rsidRDefault="007E5ECA" w:rsidP="00BD35A0">
            <w:pPr>
              <w:spacing w:line="300" w:lineRule="auto"/>
              <w:rPr>
                <w:rFonts w:ascii="Calibri" w:hAnsi="Calibri"/>
                <w:sz w:val="20"/>
                <w:szCs w:val="20"/>
                <w:lang w:val="en-US"/>
              </w:rPr>
            </w:pPr>
          </w:p>
        </w:tc>
        <w:tc>
          <w:tcPr>
            <w:tcW w:w="20" w:type="dxa"/>
          </w:tcPr>
          <w:p w14:paraId="37507358"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2465CA84"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31DFA94F" w14:textId="77777777" w:rsidTr="00F05B14">
        <w:trPr>
          <w:trHeight w:val="979"/>
        </w:trPr>
        <w:tc>
          <w:tcPr>
            <w:tcW w:w="4962" w:type="dxa"/>
            <w:shd w:val="clear" w:color="auto" w:fill="F2F2F2" w:themeFill="background1" w:themeFillShade="F2"/>
          </w:tcPr>
          <w:p w14:paraId="0B627860"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(o)</w:t>
            </w:r>
          </w:p>
          <w:p w14:paraId="70489FEC" w14:textId="25E68FCE"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The identity of the prime broker and a description of any material arrangements of the AIF with its prime brokers and the way the conflicts of interest in relation thereto are managed and the provision in the contract with the depositary on the possibility of transfer and reuse of AIF assets, and information about any transfer of liability to the prime broker that may exist;</w:t>
            </w:r>
          </w:p>
        </w:tc>
        <w:tc>
          <w:tcPr>
            <w:tcW w:w="142" w:type="dxa"/>
          </w:tcPr>
          <w:p w14:paraId="2D2C14CD"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0F26BDE3"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5C4F76E5"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6F910954" w14:textId="77777777" w:rsidR="007E5ECA" w:rsidRPr="00835C16" w:rsidRDefault="007E5ECA" w:rsidP="00BD35A0">
            <w:pPr>
              <w:spacing w:line="300" w:lineRule="auto"/>
              <w:rPr>
                <w:rFonts w:ascii="Calibri" w:hAnsi="Calibri"/>
                <w:sz w:val="20"/>
                <w:szCs w:val="20"/>
                <w:lang w:val="en-US"/>
              </w:rPr>
            </w:pPr>
          </w:p>
        </w:tc>
        <w:tc>
          <w:tcPr>
            <w:tcW w:w="20" w:type="dxa"/>
          </w:tcPr>
          <w:p w14:paraId="2A1FC910"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207133DF" w14:textId="77777777" w:rsidR="007E5ECA" w:rsidRPr="00835C16" w:rsidRDefault="007E5ECA" w:rsidP="00BD35A0">
            <w:pPr>
              <w:spacing w:line="300" w:lineRule="auto"/>
              <w:rPr>
                <w:rFonts w:ascii="Calibri" w:hAnsi="Calibri"/>
                <w:color w:val="330066"/>
                <w:sz w:val="20"/>
                <w:szCs w:val="20"/>
                <w:lang w:val="en-US"/>
              </w:rPr>
            </w:pPr>
          </w:p>
        </w:tc>
      </w:tr>
      <w:tr w:rsidR="007E5ECA" w:rsidRPr="00341F99" w14:paraId="61B2C2BB" w14:textId="77777777" w:rsidTr="00F05B14">
        <w:trPr>
          <w:trHeight w:val="979"/>
        </w:trPr>
        <w:tc>
          <w:tcPr>
            <w:tcW w:w="4962" w:type="dxa"/>
            <w:shd w:val="clear" w:color="auto" w:fill="F2F2F2" w:themeFill="background1" w:themeFillShade="F2"/>
          </w:tcPr>
          <w:p w14:paraId="22A3749C" w14:textId="7777777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23 (1) (p)</w:t>
            </w:r>
          </w:p>
          <w:p w14:paraId="3412CD79" w14:textId="73BD4A47" w:rsidR="007E5ECA" w:rsidRPr="007E5ECA" w:rsidRDefault="007E5ECA" w:rsidP="007E5ECA">
            <w:pPr>
              <w:spacing w:line="300" w:lineRule="auto"/>
              <w:rPr>
                <w:rFonts w:ascii="Calibri" w:hAnsi="Calibri"/>
                <w:sz w:val="20"/>
                <w:szCs w:val="20"/>
                <w:lang w:val="en-US" w:eastAsia="nl-NL"/>
              </w:rPr>
            </w:pPr>
            <w:r w:rsidRPr="007E5ECA">
              <w:rPr>
                <w:rFonts w:ascii="Calibri" w:hAnsi="Calibri"/>
                <w:sz w:val="20"/>
                <w:szCs w:val="20"/>
                <w:lang w:val="en-US" w:eastAsia="nl-NL"/>
              </w:rPr>
              <w:t>A description of how and when the information required under paragraphs 4 and 5 will be disclosed.</w:t>
            </w:r>
          </w:p>
        </w:tc>
        <w:tc>
          <w:tcPr>
            <w:tcW w:w="142" w:type="dxa"/>
          </w:tcPr>
          <w:p w14:paraId="5061646C"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141" w:type="dxa"/>
            <w:shd w:val="clear" w:color="auto" w:fill="auto"/>
          </w:tcPr>
          <w:p w14:paraId="4356740A" w14:textId="77777777" w:rsidR="007E5ECA" w:rsidRPr="00835C16" w:rsidRDefault="007E5ECA" w:rsidP="00BD35A0">
            <w:pPr>
              <w:spacing w:line="300" w:lineRule="auto"/>
              <w:rPr>
                <w:rFonts w:ascii="Calibri" w:hAnsi="Calibri"/>
                <w:color w:val="FFFFFF" w:themeColor="background1"/>
                <w:sz w:val="20"/>
                <w:szCs w:val="20"/>
                <w:lang w:val="en-US"/>
              </w:rPr>
            </w:pPr>
          </w:p>
        </w:tc>
        <w:tc>
          <w:tcPr>
            <w:tcW w:w="21" w:type="dxa"/>
          </w:tcPr>
          <w:p w14:paraId="66AE7BE5" w14:textId="77777777" w:rsidR="007E5ECA" w:rsidRPr="00835C16" w:rsidRDefault="007E5ECA" w:rsidP="00BD35A0">
            <w:pPr>
              <w:spacing w:line="300" w:lineRule="auto"/>
              <w:rPr>
                <w:rFonts w:ascii="Calibri" w:hAnsi="Calibri"/>
                <w:color w:val="330066"/>
                <w:sz w:val="20"/>
                <w:szCs w:val="20"/>
                <w:lang w:val="en-US"/>
              </w:rPr>
            </w:pPr>
          </w:p>
        </w:tc>
        <w:tc>
          <w:tcPr>
            <w:tcW w:w="4190" w:type="dxa"/>
          </w:tcPr>
          <w:p w14:paraId="4ED3FF58" w14:textId="77777777" w:rsidR="007E5ECA" w:rsidRPr="00835C16" w:rsidRDefault="007E5ECA" w:rsidP="00BD35A0">
            <w:pPr>
              <w:spacing w:line="300" w:lineRule="auto"/>
              <w:rPr>
                <w:rFonts w:ascii="Calibri" w:hAnsi="Calibri"/>
                <w:sz w:val="20"/>
                <w:szCs w:val="20"/>
                <w:lang w:val="en-US"/>
              </w:rPr>
            </w:pPr>
          </w:p>
        </w:tc>
        <w:tc>
          <w:tcPr>
            <w:tcW w:w="20" w:type="dxa"/>
          </w:tcPr>
          <w:p w14:paraId="35F7B62D" w14:textId="77777777" w:rsidR="007E5ECA" w:rsidRPr="00835C16" w:rsidRDefault="007E5ECA" w:rsidP="00BD35A0">
            <w:pPr>
              <w:spacing w:line="300" w:lineRule="auto"/>
              <w:rPr>
                <w:rFonts w:ascii="Calibri" w:hAnsi="Calibri"/>
                <w:color w:val="330066"/>
                <w:sz w:val="20"/>
                <w:szCs w:val="20"/>
                <w:lang w:val="en-US"/>
              </w:rPr>
            </w:pPr>
          </w:p>
        </w:tc>
        <w:tc>
          <w:tcPr>
            <w:tcW w:w="25" w:type="dxa"/>
          </w:tcPr>
          <w:p w14:paraId="7B14A2B4" w14:textId="77777777" w:rsidR="007E5ECA" w:rsidRPr="00835C16" w:rsidRDefault="007E5ECA" w:rsidP="00BD35A0">
            <w:pPr>
              <w:spacing w:line="300" w:lineRule="auto"/>
              <w:rPr>
                <w:rFonts w:ascii="Calibri" w:hAnsi="Calibri"/>
                <w:color w:val="330066"/>
                <w:sz w:val="20"/>
                <w:szCs w:val="20"/>
                <w:lang w:val="en-US"/>
              </w:rPr>
            </w:pPr>
          </w:p>
        </w:tc>
      </w:tr>
    </w:tbl>
    <w:p w14:paraId="54583E8A" w14:textId="77777777" w:rsidR="007E5ECA" w:rsidRPr="007E5ECA" w:rsidRDefault="007E5ECA" w:rsidP="007E5ECA">
      <w:pPr>
        <w:rPr>
          <w:lang w:val="en-US"/>
        </w:rPr>
      </w:pPr>
    </w:p>
    <w:p w14:paraId="06D5157B" w14:textId="77777777" w:rsidR="007E5ECA" w:rsidRPr="00DE5D3B" w:rsidRDefault="007E5ECA">
      <w:pPr>
        <w:rPr>
          <w:lang w:val="en-US"/>
        </w:rPr>
      </w:pPr>
    </w:p>
    <w:sectPr w:rsidR="007E5ECA" w:rsidRPr="00DE5D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A2F2" w14:textId="77777777" w:rsidR="00675235" w:rsidRDefault="00675235" w:rsidP="00895AD1">
      <w:pPr>
        <w:spacing w:after="0" w:line="240" w:lineRule="auto"/>
      </w:pPr>
      <w:r>
        <w:separator/>
      </w:r>
    </w:p>
  </w:endnote>
  <w:endnote w:type="continuationSeparator" w:id="0">
    <w:p w14:paraId="59D4D90F" w14:textId="77777777" w:rsidR="00675235" w:rsidRDefault="00675235" w:rsidP="0089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18A5" w14:textId="77777777" w:rsidR="00675235" w:rsidRDefault="00675235" w:rsidP="00895AD1">
      <w:pPr>
        <w:spacing w:after="0" w:line="240" w:lineRule="auto"/>
      </w:pPr>
      <w:r>
        <w:separator/>
      </w:r>
    </w:p>
  </w:footnote>
  <w:footnote w:type="continuationSeparator" w:id="0">
    <w:p w14:paraId="5E350A8D" w14:textId="77777777" w:rsidR="00675235" w:rsidRDefault="00675235" w:rsidP="00895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0563"/>
    <w:multiLevelType w:val="hybridMultilevel"/>
    <w:tmpl w:val="EED895C4"/>
    <w:lvl w:ilvl="0" w:tplc="2DFED662">
      <w:start w:val="2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687F3C"/>
    <w:multiLevelType w:val="hybridMultilevel"/>
    <w:tmpl w:val="DE8AD4EE"/>
    <w:lvl w:ilvl="0" w:tplc="35C06708">
      <w:start w:val="1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ED0D23"/>
    <w:multiLevelType w:val="hybridMultilevel"/>
    <w:tmpl w:val="410842AA"/>
    <w:lvl w:ilvl="0" w:tplc="F93C261A">
      <w:start w:val="2"/>
      <w:numFmt w:val="lowerLetter"/>
      <w:lvlText w:val="%1."/>
      <w:lvlJc w:val="left"/>
      <w:pPr>
        <w:ind w:left="360" w:hanging="360"/>
      </w:pPr>
      <w:rPr>
        <w:rFonts w:hint="default"/>
      </w:r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3" w15:restartNumberingAfterBreak="0">
    <w:nsid w:val="2C5B698D"/>
    <w:multiLevelType w:val="hybridMultilevel"/>
    <w:tmpl w:val="76CE1E36"/>
    <w:lvl w:ilvl="0" w:tplc="B4AA7956">
      <w:start w:val="1"/>
      <w:numFmt w:val="bullet"/>
      <w:lvlText w:val="□"/>
      <w:lvlJc w:val="left"/>
      <w:pPr>
        <w:ind w:left="720" w:hanging="360"/>
      </w:pPr>
      <w:rPr>
        <w:rFonts w:ascii="Courier New" w:hAnsi="Courier New" w:hint="default"/>
      </w:rPr>
    </w:lvl>
    <w:lvl w:ilvl="1" w:tplc="84B2407E">
      <w:start w:val="1"/>
      <w:numFmt w:val="lowerLetter"/>
      <w:lvlText w:val="%2."/>
      <w:lvlJc w:val="left"/>
      <w:pPr>
        <w:ind w:left="360" w:hanging="360"/>
      </w:pPr>
      <w:rPr>
        <w:rFonts w:ascii="Calibri" w:eastAsia="Times New Roman" w:hAnsi="Calibri" w:cs="Times New Roman"/>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654828"/>
    <w:multiLevelType w:val="hybridMultilevel"/>
    <w:tmpl w:val="6AEAF7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2D7486"/>
    <w:multiLevelType w:val="hybridMultilevel"/>
    <w:tmpl w:val="B1DA7792"/>
    <w:lvl w:ilvl="0" w:tplc="022EF4C4">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61A85"/>
    <w:multiLevelType w:val="hybridMultilevel"/>
    <w:tmpl w:val="AE822CC2"/>
    <w:lvl w:ilvl="0" w:tplc="5FBAFED4">
      <w:start w:val="1"/>
      <w:numFmt w:val="decimal"/>
      <w:pStyle w:val="04aNumeration"/>
      <w:lvlText w:val="%1."/>
      <w:lvlJc w:val="left"/>
      <w:pPr>
        <w:tabs>
          <w:tab w:val="num" w:pos="284"/>
        </w:tabs>
        <w:ind w:left="284" w:hanging="284"/>
      </w:pPr>
      <w:rPr>
        <w:rFonts w:ascii="Georgia" w:hAnsi="Georgia" w:hint="default"/>
        <w:b w:val="0"/>
        <w:sz w:val="20"/>
      </w:rPr>
    </w:lvl>
    <w:lvl w:ilvl="1" w:tplc="CF12A106">
      <w:start w:val="1"/>
      <w:numFmt w:val="upp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CF904B8"/>
    <w:multiLevelType w:val="hybridMultilevel"/>
    <w:tmpl w:val="B314B6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0908DB"/>
    <w:multiLevelType w:val="hybridMultilevel"/>
    <w:tmpl w:val="69C4220A"/>
    <w:lvl w:ilvl="0" w:tplc="C776907E">
      <w:numFmt w:val="bullet"/>
      <w:lvlText w:val="•"/>
      <w:lvlJc w:val="left"/>
      <w:pPr>
        <w:ind w:left="1005" w:hanging="645"/>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5"/>
  </w:num>
  <w:num w:numId="6">
    <w:abstractNumId w:val="2"/>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AD1"/>
    <w:rsid w:val="000B7443"/>
    <w:rsid w:val="000F344D"/>
    <w:rsid w:val="001F64E7"/>
    <w:rsid w:val="002E1D3E"/>
    <w:rsid w:val="00341F99"/>
    <w:rsid w:val="00390AC9"/>
    <w:rsid w:val="00470B77"/>
    <w:rsid w:val="005E71E6"/>
    <w:rsid w:val="00675235"/>
    <w:rsid w:val="006A22EF"/>
    <w:rsid w:val="006D1E9D"/>
    <w:rsid w:val="006F4927"/>
    <w:rsid w:val="00760626"/>
    <w:rsid w:val="007C14C4"/>
    <w:rsid w:val="007E5ECA"/>
    <w:rsid w:val="008434A7"/>
    <w:rsid w:val="00895AD1"/>
    <w:rsid w:val="00921370"/>
    <w:rsid w:val="009E0465"/>
    <w:rsid w:val="00A43D34"/>
    <w:rsid w:val="00B14BA9"/>
    <w:rsid w:val="00D32089"/>
    <w:rsid w:val="00DE5D3B"/>
    <w:rsid w:val="00E920D2"/>
    <w:rsid w:val="00E93CF4"/>
    <w:rsid w:val="00F05B14"/>
    <w:rsid w:val="00FC34F0"/>
    <w:rsid w:val="00FF06D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5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0626"/>
    <w:pPr>
      <w:ind w:left="720"/>
      <w:contextualSpacing/>
    </w:pPr>
  </w:style>
  <w:style w:type="paragraph" w:customStyle="1" w:styleId="04aNumeration">
    <w:name w:val="04a_Numeration"/>
    <w:basedOn w:val="Standaard"/>
    <w:uiPriority w:val="99"/>
    <w:rsid w:val="007E5ECA"/>
    <w:pPr>
      <w:numPr>
        <w:numId w:val="8"/>
      </w:numPr>
      <w:spacing w:after="250"/>
      <w:jc w:val="both"/>
    </w:pPr>
    <w:rPr>
      <w:rFonts w:ascii="Georgia" w:eastAsia="Times New Roman" w:hAnsi="Georgia" w:cs="Times New Roman"/>
      <w:sz w:val="20"/>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3.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AFMDOC-129-11317</_dlc_DocId>
    <_dlc_DocIdUrl xmlns="dd62d345-e1f9-48ef-b6ff-7cdbbbf7a6ae">
      <Url>https://dms.stelan.nl/bedrijfsvoering/_layouts/15/DocIdRedir.aspx?ID=AFMDOC-129-11317</Url>
      <Description>AFMDOC-129-11317</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B9EB846D-4C56-482A-8AE3-01665A6DA63E}"/>
</file>

<file path=customXml/itemProps2.xml><?xml version="1.0" encoding="utf-8"?>
<ds:datastoreItem xmlns:ds="http://schemas.openxmlformats.org/officeDocument/2006/customXml" ds:itemID="{5FE3F0BB-829A-4C1A-89FC-93203EAE84CF}"/>
</file>

<file path=customXml/itemProps3.xml><?xml version="1.0" encoding="utf-8"?>
<ds:datastoreItem xmlns:ds="http://schemas.openxmlformats.org/officeDocument/2006/customXml" ds:itemID="{097659B7-DA21-416B-B4B0-5AE402BF2D8C}"/>
</file>

<file path=customXml/itemProps4.xml><?xml version="1.0" encoding="utf-8"?>
<ds:datastoreItem xmlns:ds="http://schemas.openxmlformats.org/officeDocument/2006/customXml" ds:itemID="{9B98F1BC-D09E-41C2-B5D6-573698CE1452}"/>
</file>

<file path=customXml/itemProps5.xml><?xml version="1.0" encoding="utf-8"?>
<ds:datastoreItem xmlns:ds="http://schemas.openxmlformats.org/officeDocument/2006/customXml" ds:itemID="{A657BCAF-C687-4B19-9443-22FF6A6BCF6F}"/>
</file>

<file path=customXml/itemProps6.xml><?xml version="1.0" encoding="utf-8"?>
<ds:datastoreItem xmlns:ds="http://schemas.openxmlformats.org/officeDocument/2006/customXml" ds:itemID="{44BE83F7-0A85-4622-8E01-AC90BD62AABA}"/>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2021-06-09T07:20:00Z</dcterms:created>
  <dcterms:modified xsi:type="dcterms:W3CDTF">2021-06-09T07:20:00Z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837e1c45-9e11-43be-b3df-5b7446451612</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